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L="0" distT="0" distB="0" distR="0">
            <wp:extent cx="4143375" cy="466725"/>
            <wp:effectExtent l="0" t="0" r="9525" b="9525"/>
            <wp:docPr id="1026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143375" cy="4667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>
      <w:pPr>
        <w:pStyle w:val="style0"/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>
        <w:trPr>
          <w:trHeight w:val="267" w:hRule="atLeast"/>
          <w:jc w:val="center"/>
        </w:trPr>
        <w:tc>
          <w:tcPr>
            <w:tcW w:w="1470" w:type="dxa"/>
            <w:tcBorders/>
            <w:vAlign w:val="center"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/>
        <w:trPr>
          <w:trHeight w:val="20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bookmarkStart w:id="0" w:name="_GoBack"/>
      <w:tr>
        <w:tblPrEx/>
        <w:trPr>
          <w:trHeight w:val="406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" w:eastAsia="仿宋_GB2312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>
              <w:rPr>
                <w:rFonts w:ascii="仿宋_GB2312" w:eastAsia="仿宋_GB2312"/>
                <w:szCs w:val="21"/>
                <w:lang w:val="en-US"/>
              </w:rPr>
              <w:t>20.</w:t>
            </w:r>
            <w:r>
              <w:rPr>
                <w:rFonts w:ascii="仿宋_GB2312" w:eastAsia="仿宋_GB2312"/>
                <w:szCs w:val="21"/>
              </w:rPr>
              <w:t>1.2</w:t>
            </w:r>
            <w:r>
              <w:rPr>
                <w:rFonts w:ascii="仿宋_GB2312" w:eastAsia="仿宋_GB2312"/>
                <w:szCs w:val="21"/>
                <w:lang w:val="en-US"/>
              </w:rPr>
              <w:t>3</w:t>
            </w:r>
            <w:r>
              <w:rPr>
                <w:rFonts w:ascii="仿宋_GB2312" w:eastAsia="仿宋_GB2312" w:hint="eastAsia"/>
                <w:szCs w:val="21"/>
                <w:lang w:val="en-US" w:eastAsia="zh-CN"/>
              </w:rPr>
              <w:t>—</w:t>
            </w:r>
            <w:r>
              <w:rPr>
                <w:rFonts w:ascii="仿宋_GB2312" w:eastAsia="仿宋_GB2312"/>
                <w:szCs w:val="21"/>
              </w:rPr>
              <w:t>1.2</w:t>
            </w:r>
            <w:r>
              <w:rPr>
                <w:rFonts w:ascii="仿宋_GB2312" w:eastAsia="仿宋_GB2312"/>
                <w:szCs w:val="21"/>
                <w:lang w:val="en-US"/>
              </w:rPr>
              <w:t>7</w:t>
            </w:r>
          </w:p>
        </w:tc>
      </w:tr>
      <w:bookmarkEnd w:id="0"/>
      <w:tr>
        <w:tblPrEx/>
        <w:trPr>
          <w:trHeight w:val="20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lang w:eastAsia="zh-CN"/>
              </w:rPr>
              <w:t>上海</w:t>
            </w: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1.2</w:t>
            </w:r>
            <w:r>
              <w:rPr>
                <w:rFonts w:ascii="仿宋" w:eastAsia="仿宋" w:hAnsi="仿宋"/>
                <w:lang w:val="en-US"/>
              </w:rPr>
              <w:t>7</w:t>
            </w:r>
          </w:p>
        </w:tc>
      </w:tr>
      <w:tr>
        <w:tblPrEx/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630" w:firstLineChars="300"/>
              <w:jc w:val="left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</w:t>
            </w:r>
            <w:r>
              <w:rPr>
                <w:rFonts w:ascii="仿宋" w:eastAsia="仿宋" w:hAnsi="仿宋"/>
                <w:kern w:val="0"/>
                <w:szCs w:val="21"/>
                <w:lang w:val="en-US"/>
              </w:rPr>
              <w:t>20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</w:t>
            </w:r>
            <w:r>
              <w:rPr>
                <w:rFonts w:ascii="仿宋" w:eastAsia="仿宋" w:hAnsi="仿宋"/>
                <w:kern w:val="0"/>
                <w:szCs w:val="21"/>
              </w:rPr>
              <w:t>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月</w:t>
            </w:r>
            <w:r>
              <w:rPr>
                <w:rFonts w:ascii="仿宋" w:eastAsia="仿宋" w:hAnsi="仿宋"/>
                <w:kern w:val="0"/>
                <w:szCs w:val="21"/>
              </w:rPr>
              <w:t>2</w:t>
            </w:r>
            <w:r>
              <w:rPr>
                <w:rFonts w:ascii="仿宋" w:eastAsia="仿宋" w:hAnsi="仿宋"/>
                <w:kern w:val="0"/>
                <w:szCs w:val="21"/>
                <w:lang w:val="en-US"/>
              </w:rPr>
              <w:t>3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日开航的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歌诗达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“</w:t>
            </w:r>
            <w:r>
              <w:rPr>
                <w:rFonts w:ascii="仿宋" w:eastAsia="仿宋" w:hAnsi="仿宋" w:hint="eastAsia"/>
                <w:kern w:val="0"/>
                <w:szCs w:val="21"/>
                <w:lang w:eastAsia="zh-CN"/>
              </w:rPr>
              <w:t>大西洋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”邮轮因受</w:t>
            </w:r>
            <w:r>
              <w:rPr>
                <w:rFonts w:ascii="仿宋" w:eastAsia="仿宋" w:hAnsi="仿宋" w:hint="eastAsia"/>
                <w:kern w:val="0"/>
                <w:szCs w:val="21"/>
                <w:lang w:eastAsia="zh-CN"/>
              </w:rPr>
              <w:t>疫情发展，海关排查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的影响，</w:t>
            </w:r>
            <w:r>
              <w:rPr>
                <w:rFonts w:ascii="仿宋" w:eastAsia="仿宋" w:hAnsi="仿宋" w:hint="eastAsia"/>
                <w:szCs w:val="21"/>
              </w:rPr>
              <w:t>造成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>
              <w:rPr>
                <w:rFonts w:ascii="仿宋" w:eastAsia="仿宋" w:hAnsi="仿宋" w:hint="default"/>
                <w:kern w:val="0"/>
                <w:szCs w:val="21"/>
                <w:lang w:val="en-US"/>
              </w:rPr>
              <w:t>3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小时以上，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目的港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住宿费的损失,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>
              <w:rPr>
                <w:rFonts w:ascii="仿宋" w:eastAsia="仿宋" w:hAnsi="仿宋"/>
                <w:kern w:val="0"/>
                <w:szCs w:val="21"/>
              </w:rPr>
              <w:t>MB</w:t>
            </w:r>
            <w:r>
              <w:rPr>
                <w:rFonts w:ascii="仿宋" w:eastAsia="仿宋" w:hAnsi="仿宋"/>
                <w:kern w:val="0"/>
                <w:szCs w:val="21"/>
                <w:lang w:val="en-US"/>
              </w:rPr>
              <w:t>3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>
            <w:pPr>
              <w:pStyle w:val="style0"/>
              <w:ind w:firstLine="632" w:firstLineChars="30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>
              <w:rPr>
                <w:rFonts w:ascii="仿宋" w:eastAsia="仿宋" w:hAnsi="仿宋" w:hint="eastAsia"/>
                <w:szCs w:val="21"/>
              </w:rPr>
              <w:t>联</w:t>
            </w:r>
            <w:r>
              <w:rPr>
                <w:rFonts w:ascii="仿宋" w:eastAsia="仿宋" w:hAnsi="仿宋" w:hint="eastAsia"/>
                <w:szCs w:val="21"/>
              </w:rPr>
              <w:t>程损失</w:t>
            </w:r>
            <w:r>
              <w:rPr>
                <w:rFonts w:ascii="仿宋" w:eastAsia="仿宋" w:hAnsi="仿宋" w:hint="eastAsia"/>
                <w:szCs w:val="21"/>
              </w:rPr>
              <w:t>补偿需提供原定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飞机票（电子客票行程单）、火车票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（废票原件，改签或退票的定退票记录）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、住宿费（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需酒店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纸质增票，注明当天日期、入住人名字）等发票原件或订票、退票、改签等记录凭证</w:t>
            </w:r>
          </w:p>
        </w:tc>
      </w:tr>
      <w:tr>
        <w:tblPrEx/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/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tcBorders/>
            <w:vAlign w:val="center"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tcBorders/>
            <w:vAlign w:val="center"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>
      <w:pPr>
        <w:pStyle w:val="style0"/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r>
        <w:rPr>
          <w:rFonts w:ascii="仿宋" w:eastAsia="仿宋" w:hAnsi="仿宋"/>
          <w:b/>
          <w:szCs w:val="21"/>
        </w:rPr>
        <w:t>行信息</w:t>
      </w:r>
      <w:r>
        <w:rPr>
          <w:rFonts w:ascii="仿宋" w:eastAsia="仿宋" w:hAnsi="仿宋"/>
          <w:b/>
          <w:szCs w:val="21"/>
        </w:rPr>
        <w:t>填写齐全。</w:t>
      </w:r>
    </w:p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仿宋">
    <w:altName w:val="仿宋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oNotDisplayPageBoundaries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kern w:val="2"/>
      <w:sz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Calibri" w:cs="宋体" w:eastAsia="宋体" w:hAnsi="Calibri"/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Calibri" w:cs="宋体" w:eastAsia="宋体" w:hAnsi="Calibri"/>
      <w:sz w:val="18"/>
      <w:szCs w:val="18"/>
    </w:rPr>
  </w:style>
  <w:style w:type="character" w:customStyle="1" w:styleId="style4097">
    <w:name w:val="页眉 Char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qFormat/>
    <w:uiPriority w:val="99"/>
    <w:rPr>
      <w:sz w:val="18"/>
      <w:szCs w:val="18"/>
    </w:r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456</Words>
  <Pages>1</Pages>
  <Characters>482</Characters>
  <Application>WPS Office</Application>
  <DocSecurity>0</DocSecurity>
  <Paragraphs>47</Paragraphs>
  <ScaleCrop>false</ScaleCrop>
  <Company>Microsoft</Company>
  <LinksUpToDate>false</LinksUpToDate>
  <CharactersWithSpaces>525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2019-11-25T01:22:00Z</dcterms:created>
  <dc:creator>HY</dc:creator>
  <lastModifiedBy>ELE-AL00</lastModifiedBy>
  <dcterms:modified xsi:type="dcterms:W3CDTF">2020-02-10T06:13:02Z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