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06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2019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日开航的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盛世“公主号”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邮轮因受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恶劣天气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的影响，</w:t>
            </w:r>
            <w:r>
              <w:rPr>
                <w:rFonts w:hint="eastAsia" w:ascii="仿宋" w:hAnsi="仿宋" w:eastAsia="仿宋"/>
                <w:szCs w:val="21"/>
              </w:rPr>
              <w:t>造成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返程抵港延误</w:t>
            </w:r>
            <w:r>
              <w:rPr>
                <w:rFonts w:ascii="仿宋" w:hAnsi="仿宋" w:eastAsia="仿宋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小时以上，</w:t>
            </w:r>
            <w:r>
              <w:rPr>
                <w:rFonts w:hint="eastAsia" w:ascii="仿宋" w:hAnsi="仿宋" w:eastAsia="仿宋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Cs w:val="21"/>
                <w:shd w:val="clear" w:color="auto" w:fill="FFFFFF"/>
              </w:rPr>
              <w:t>失,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按实际发生金额赔偿，且每人最高赔偿R</w:t>
            </w:r>
            <w:r>
              <w:rPr>
                <w:rFonts w:ascii="仿宋" w:hAnsi="仿宋" w:eastAsia="仿宋"/>
                <w:kern w:val="0"/>
                <w:szCs w:val="21"/>
              </w:rPr>
              <w:t>MB6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00元。</w:t>
            </w:r>
          </w:p>
          <w:p>
            <w:pPr>
              <w:ind w:firstLine="632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特别提示</w:t>
            </w:r>
            <w:r>
              <w:rPr>
                <w:rFonts w:ascii="仿宋" w:hAnsi="仿宋" w:eastAsia="仿宋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抵港延误</w:t>
            </w:r>
            <w:r>
              <w:rPr>
                <w:rFonts w:hint="eastAsia" w:ascii="仿宋" w:hAnsi="仿宋" w:eastAsia="仿宋"/>
                <w:szCs w:val="21"/>
              </w:rPr>
              <w:t>联程损失补偿需提供原定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飞机票（电子客票行程单）、火车票、住宿费（需酒店纸质增票，注明当天日期、入住人名字）等发票原件或订票、退票、改签等记录凭证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3BC369E3"/>
    <w:rsid w:val="4EA25710"/>
    <w:rsid w:val="58935A81"/>
    <w:rsid w:val="5ED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471</Characters>
  <Lines>3</Lines>
  <Paragraphs>1</Paragraphs>
  <TotalTime>3</TotalTime>
  <ScaleCrop>false</ScaleCrop>
  <LinksUpToDate>false</LinksUpToDate>
  <CharactersWithSpaces>552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 君君 小丫头</cp:lastModifiedBy>
  <dcterms:modified xsi:type="dcterms:W3CDTF">2019-08-12T01:10:13Z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