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L="0" distT="0" distB="0" distR="0">
            <wp:extent cx="4143375" cy="466725"/>
            <wp:effectExtent l="0" t="0" r="9525" b="9525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43375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>
      <w:pPr>
        <w:pStyle w:val="style0"/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>
        <w:trPr>
          <w:trHeight w:val="267" w:hRule="atLeast"/>
          <w:jc w:val="center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470" w:type="dxa"/>
            <w:tcBorders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</w:tr>
      <w:bookmarkStart w:id="0" w:name="_GoBack"/>
      <w:tr>
        <w:tblPrEx/>
        <w:trPr>
          <w:trHeight w:val="406" w:hRule="atLeast"/>
          <w:jc w:val="center"/>
        </w:trPr>
        <w:tc>
          <w:tcPr>
            <w:tcW w:w="1470" w:type="dxa"/>
            <w:tcBorders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  <w:lang w:val="en-US"/>
              </w:rPr>
              <w:t>20.</w:t>
            </w:r>
            <w:r>
              <w:rPr>
                <w:rFonts w:ascii="仿宋_GB2312" w:eastAsia="仿宋_GB2312"/>
                <w:szCs w:val="21"/>
              </w:rPr>
              <w:t>1.2</w:t>
            </w:r>
            <w:r>
              <w:rPr>
                <w:rFonts w:ascii="仿宋_GB2312" w:eastAsia="仿宋_GB2312"/>
                <w:szCs w:val="21"/>
                <w:lang w:val="en-US"/>
              </w:rPr>
              <w:t>0</w:t>
            </w:r>
            <w:r>
              <w:rPr>
                <w:rFonts w:ascii="仿宋_GB2312" w:eastAsia="仿宋_GB2312" w:hint="eastAsia"/>
                <w:szCs w:val="21"/>
                <w:lang w:val="en-US" w:eastAsia="zh-CN"/>
              </w:rPr>
              <w:t>—</w:t>
            </w:r>
            <w:r>
              <w:rPr>
                <w:rFonts w:ascii="仿宋_GB2312" w:eastAsia="仿宋_GB2312"/>
                <w:szCs w:val="21"/>
              </w:rPr>
              <w:t>1.25</w:t>
            </w:r>
          </w:p>
        </w:tc>
      </w:tr>
      <w:bookmarkEnd w:id="0"/>
      <w:tr>
        <w:tblPrEx/>
        <w:trPr>
          <w:trHeight w:val="20" w:hRule="atLeast"/>
          <w:jc w:val="center"/>
        </w:trPr>
        <w:tc>
          <w:tcPr>
            <w:tcW w:w="1470" w:type="dxa"/>
            <w:tcBorders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上海</w:t>
            </w:r>
          </w:p>
        </w:tc>
        <w:tc>
          <w:tcPr>
            <w:tcW w:w="134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1.25</w:t>
            </w:r>
          </w:p>
        </w:tc>
      </w:tr>
      <w:tr>
        <w:tblPrEx/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630" w:firstLineChars="30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</w:t>
            </w:r>
            <w:r>
              <w:rPr>
                <w:rFonts w:ascii="仿宋" w:eastAsia="仿宋" w:hAnsi="仿宋"/>
                <w:kern w:val="0"/>
                <w:szCs w:val="21"/>
                <w:lang w:val="en-US"/>
              </w:rPr>
              <w:t>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/>
                <w:kern w:val="0"/>
                <w:szCs w:val="21"/>
                <w:lang w:val="en-US"/>
              </w:rPr>
              <w:t>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歌诗达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“</w:t>
            </w:r>
            <w:r>
              <w:rPr>
                <w:rFonts w:ascii="仿宋" w:eastAsia="仿宋" w:hAnsi="仿宋" w:hint="eastAsia"/>
                <w:kern w:val="0"/>
                <w:szCs w:val="21"/>
                <w:lang w:eastAsia="zh-CN"/>
              </w:rPr>
              <w:t>赛琳娜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”邮轮因受</w:t>
            </w:r>
            <w:r>
              <w:rPr>
                <w:rFonts w:ascii="仿宋" w:eastAsia="仿宋" w:hAnsi="仿宋" w:hint="eastAsia"/>
                <w:kern w:val="0"/>
                <w:szCs w:val="21"/>
                <w:lang w:eastAsia="zh-CN"/>
              </w:rPr>
              <w:t>疫情发展，海关排查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的影响，</w:t>
            </w:r>
            <w:r>
              <w:rPr>
                <w:rFonts w:ascii="仿宋" w:eastAsia="仿宋" w:hAnsi="仿宋" w:hint="eastAsia"/>
                <w:szCs w:val="21"/>
              </w:rPr>
              <w:t>造成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返程抵港延误</w:t>
            </w:r>
            <w:r>
              <w:rPr>
                <w:rFonts w:ascii="仿宋" w:eastAsia="仿宋" w:hAnsi="仿宋" w:hint="default"/>
                <w:kern w:val="0"/>
                <w:szCs w:val="21"/>
                <w:lang w:val="en-US"/>
              </w:rPr>
              <w:t>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小时以上，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导致后续行程受到影响，所产生的原定交通票据（交通票据仅针对飞机、火车及长途客运）作废、改签、退票的差额损失或无法搭乘原定联程交通工具（联程交通工具仅针对飞机、火车及长途客运）而产生的当天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目的港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住宿费的损失,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按实际发生金额赔偿，且每人最高赔偿R</w:t>
            </w:r>
            <w:r>
              <w:rPr>
                <w:rFonts w:ascii="仿宋" w:eastAsia="仿宋" w:hAnsi="仿宋"/>
                <w:kern w:val="0"/>
                <w:szCs w:val="21"/>
              </w:rPr>
              <w:t>MB</w:t>
            </w:r>
            <w:r>
              <w:rPr>
                <w:rFonts w:ascii="仿宋" w:eastAsia="仿宋" w:hAnsi="仿宋"/>
                <w:kern w:val="0"/>
                <w:szCs w:val="21"/>
                <w:lang w:val="en-US"/>
              </w:rPr>
              <w:t>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00元。</w:t>
            </w:r>
          </w:p>
          <w:p>
            <w:pPr>
              <w:pStyle w:val="style0"/>
              <w:ind w:firstLine="632" w:firstLineChars="30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程损失</w:t>
            </w:r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（废票原件，改签或退票的定退票记录）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、住宿费（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需酒店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纸质增票，注明当天日期、入住人名字）等发票原件或订票、退票、改签等记录凭证</w:t>
            </w:r>
          </w:p>
        </w:tc>
      </w:tr>
      <w:tr>
        <w:tblPrEx/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>
      <w:pPr>
        <w:pStyle w:val="style0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r>
        <w:rPr>
          <w:rFonts w:ascii="仿宋" w:eastAsia="仿宋" w:hAnsi="仿宋"/>
          <w:b/>
          <w:szCs w:val="21"/>
        </w:rPr>
        <w:t>行信息</w:t>
      </w:r>
      <w:r>
        <w:rPr>
          <w:rFonts w:ascii="仿宋" w:eastAsia="仿宋" w:hAnsi="仿宋"/>
          <w:b/>
          <w:szCs w:val="21"/>
        </w:rPr>
        <w:t>填写齐全。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456</Words>
  <Pages>1</Pages>
  <Characters>482</Characters>
  <Application>WPS Office</Application>
  <DocSecurity>0</DocSecurity>
  <Paragraphs>47</Paragraphs>
  <ScaleCrop>false</ScaleCrop>
  <Company>Microsoft</Company>
  <LinksUpToDate>false</LinksUpToDate>
  <CharactersWithSpaces>525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2019-11-25T01:22:00Z</dcterms:created>
  <dc:creator>HY</dc:creator>
  <lastModifiedBy>ELE-AL00</lastModifiedBy>
  <dcterms:modified xsi:type="dcterms:W3CDTF">2020-02-10T05:41:31Z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